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FDEB" w14:textId="495C92B1" w:rsidR="00666811" w:rsidRDefault="000E4875">
      <w:pPr>
        <w:pStyle w:val="10"/>
        <w:keepNext/>
        <w:keepLines/>
        <w:shd w:val="clear" w:color="auto" w:fill="auto"/>
        <w:spacing w:before="0" w:after="471" w:line="346" w:lineRule="exact"/>
        <w:ind w:left="20"/>
      </w:pPr>
      <w:bookmarkStart w:id="0" w:name="bookmark1"/>
      <w:r>
        <w:t>Техническая спецификация</w:t>
      </w:r>
      <w:r>
        <w:br/>
        <w:t>закупаемых товаров</w:t>
      </w:r>
      <w:r>
        <w:br/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138"/>
      </w:tblGrid>
      <w:tr w:rsidR="00666811" w14:paraId="3113B4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E0455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Наименование конкурса: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9028D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Система очистки зерна</w:t>
            </w:r>
          </w:p>
        </w:tc>
      </w:tr>
      <w:tr w:rsidR="00666811" w14:paraId="4412EB8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2A85D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Наименование товара: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1C6C2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Линия</w:t>
            </w:r>
          </w:p>
        </w:tc>
      </w:tr>
      <w:tr w:rsidR="00666811" w14:paraId="186DD5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3495B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Единица измерения: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1E653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Штука</w:t>
            </w:r>
          </w:p>
        </w:tc>
      </w:tr>
      <w:tr w:rsidR="00666811" w14:paraId="2FC5CDA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0A0B2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Количество (объем):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1AA7A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1</w:t>
            </w:r>
          </w:p>
        </w:tc>
      </w:tr>
      <w:tr w:rsidR="00666811" w14:paraId="13139DB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F3099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1"/>
              </w:rPr>
              <w:t>Условия поставки (в соответствии с ИНКОТЕРМС 2010):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848F5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2"/>
                <w:lang w:val="en-US" w:eastAsia="en-US" w:bidi="en-US"/>
              </w:rPr>
              <w:t>DDP</w:t>
            </w:r>
            <w:r w:rsidRPr="00B829E8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термин употребляется с указанием места прибытия. Он означает, что ответственность продавца </w:t>
            </w:r>
            <w:r>
              <w:rPr>
                <w:rStyle w:val="22"/>
              </w:rPr>
              <w:t>заканчивается после того, как товар доставлен в указанное место в стране покупателя. Все риски, все расходы по доставке груза (налоги, пошлины</w:t>
            </w:r>
          </w:p>
        </w:tc>
      </w:tr>
      <w:tr w:rsidR="00666811" w14:paraId="6E172E7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676F4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Срок поставки: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E6A0D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В течение 240 календарных дней со дня заключения договора</w:t>
            </w:r>
          </w:p>
        </w:tc>
      </w:tr>
      <w:tr w:rsidR="00666811" w14:paraId="2F21ED5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7357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Место поставки товара: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882E3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2"/>
              </w:rPr>
              <w:t xml:space="preserve">151015100, Актюбинская область, Актобе Г.А., район Алматы </w:t>
            </w:r>
            <w:proofErr w:type="spellStart"/>
            <w:r>
              <w:rPr>
                <w:rStyle w:val="22"/>
              </w:rPr>
              <w:t>г.Актобе</w:t>
            </w:r>
            <w:proofErr w:type="spellEnd"/>
            <w:r>
              <w:rPr>
                <w:rStyle w:val="22"/>
              </w:rPr>
              <w:t xml:space="preserve">, район Алматы, </w:t>
            </w:r>
            <w:proofErr w:type="spellStart"/>
            <w:r>
              <w:rPr>
                <w:rStyle w:val="22"/>
              </w:rPr>
              <w:t>пК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Нокина</w:t>
            </w:r>
            <w:proofErr w:type="spellEnd"/>
            <w:r>
              <w:rPr>
                <w:rStyle w:val="22"/>
              </w:rPr>
              <w:t>, Мира 1</w:t>
            </w:r>
          </w:p>
        </w:tc>
      </w:tr>
      <w:tr w:rsidR="00666811" w14:paraId="44FAAF6F" w14:textId="77777777" w:rsidTr="00B829E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F79F1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1"/>
              </w:rPr>
              <w:t xml:space="preserve">Наименование национальных стандартов, а в случае их отсутствия межгосударственных стандартов на закупаемые товары. При </w:t>
            </w:r>
            <w:r>
              <w:rPr>
                <w:rStyle w:val="21"/>
              </w:rPr>
              <w:t>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с учетом нормирования государственных закупок.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5FBD3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2"/>
              </w:rPr>
              <w:t>Система очистки зерна по размеру, у</w:t>
            </w:r>
            <w:r>
              <w:rPr>
                <w:rStyle w:val="22"/>
              </w:rPr>
              <w:t>дельному весу и чистоте с протравливателем непрерывного действия для получения высокой степени обработки семян, для последующего посева</w:t>
            </w:r>
          </w:p>
        </w:tc>
      </w:tr>
      <w:tr w:rsidR="00666811" w14:paraId="5460268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910BC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Год выпуска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3ED37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2019</w:t>
            </w:r>
          </w:p>
        </w:tc>
      </w:tr>
      <w:tr w:rsidR="00666811" w14:paraId="737153E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3EBAF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1"/>
              </w:rPr>
              <w:t>Гарантийный срок (в месяцах)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540BD" w14:textId="77777777" w:rsidR="00666811" w:rsidRDefault="000E487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12</w:t>
            </w:r>
          </w:p>
        </w:tc>
      </w:tr>
    </w:tbl>
    <w:p w14:paraId="5DAD6697" w14:textId="77777777" w:rsidR="00666811" w:rsidRDefault="00666811">
      <w:pPr>
        <w:framePr w:w="10195" w:wrap="notBeside" w:vAnchor="text" w:hAnchor="text" w:xAlign="center" w:y="1"/>
        <w:rPr>
          <w:sz w:val="2"/>
          <w:szCs w:val="2"/>
        </w:rPr>
      </w:pPr>
    </w:p>
    <w:p w14:paraId="60459162" w14:textId="77777777" w:rsidR="00666811" w:rsidRDefault="00666811">
      <w:pPr>
        <w:rPr>
          <w:sz w:val="2"/>
          <w:szCs w:val="2"/>
        </w:rPr>
      </w:pPr>
    </w:p>
    <w:p w14:paraId="67E75755" w14:textId="77777777" w:rsidR="00666811" w:rsidRDefault="00666811">
      <w:pPr>
        <w:rPr>
          <w:sz w:val="2"/>
          <w:szCs w:val="2"/>
        </w:rPr>
        <w:sectPr w:rsidR="00666811">
          <w:pgSz w:w="11900" w:h="16840"/>
          <w:pgMar w:top="882" w:right="828" w:bottom="882" w:left="852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310E45F3" w14:textId="77777777" w:rsidR="00666811" w:rsidRDefault="000E487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100"/>
      </w:pPr>
      <w:r>
        <w:lastRenderedPageBreak/>
        <w:pict w14:anchorId="227579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-1.2pt;width:149.3pt;height:36.5pt;z-index:-251658752;mso-wrap-distance-left:5pt;mso-wrap-distance-right:5.3pt;mso-position-horizontal-relative:margin" filled="f" stroked="f">
            <v:textbox style="mso-fit-shape-to-text:t" inset="0,0,0,0">
              <w:txbxContent>
                <w:p w14:paraId="454BD80E" w14:textId="77777777" w:rsidR="00666811" w:rsidRDefault="000E4875">
                  <w:pPr>
                    <w:pStyle w:val="4"/>
                    <w:shd w:val="clear" w:color="auto" w:fill="auto"/>
                  </w:pPr>
                  <w:r>
                    <w:t xml:space="preserve">Описание требуемых </w:t>
                  </w:r>
                  <w:r>
                    <w:t>функциональных, технических, качественных, эксплуатационных и иных характеристик закупаемого товара</w:t>
                  </w:r>
                </w:p>
              </w:txbxContent>
            </v:textbox>
            <w10:wrap type="square" side="right" anchorx="margin"/>
          </v:shape>
        </w:pict>
      </w:r>
      <w:r>
        <w:t>Система очистки зерна по размеру, удельному весу и чистоте с протравливателем непрерывного действия для получения высокой степени обработки семян, для после</w:t>
      </w:r>
      <w:r>
        <w:t>дующего посева и состоит из: 1. Ковшовая нория из оцинкованной листовой стали для вертикальной транспортировки любых зернистых и сыпучих материалов. Производительность для пшеницы не менее 30,0 т/час; Общая высота не менее 19,1 м; Приводной двигатель не ме</w:t>
      </w:r>
      <w:r>
        <w:t>нее 4,0 кВт; Блокировка обратного хода; Датчик схода ленты 24 В; Датчик скорости 24 В; Скорость ленты до 2 м/сек.; Разгрузочная задвижка в башмаке нории; Подставка для башмака нории с выгрузным лотком; Промежуточные шайбы между ковшом и лентой нории, нижни</w:t>
      </w:r>
      <w:r>
        <w:t xml:space="preserve">й барабан башмака нории выполнен из пластин для избежание травмирования продукта. Маслостойкая, антистатическая резиновая лента со стальными ковшами. 2. Универсальный </w:t>
      </w:r>
      <w:proofErr w:type="spellStart"/>
      <w:r>
        <w:t>очистительдля</w:t>
      </w:r>
      <w:proofErr w:type="spellEnd"/>
      <w:r>
        <w:t xml:space="preserve"> предварительной, интенсивной и основной очистки. Машина выполнена из листов</w:t>
      </w:r>
      <w:r>
        <w:t>ой стали. Габаритные размеры: - длина не менее 2850мм, но не более 2930мм. - ширина не менее 1690мм, но не более 1710мм. - высота не менее 3240мм, но не более 3260мм. Вес машины не менее 2900кг, но не более 3020кг. Предварительная очистка не менее 60,0 т/ч</w:t>
      </w:r>
      <w:r>
        <w:t xml:space="preserve">ас; Интенсивная очистка не менее 30,0 т/час; Очистка не менее 8,0 т/час; Приемный бункер с прорезиненным питающим валиком; Предварительный и дополнительный каналы сепарации с </w:t>
      </w:r>
      <w:proofErr w:type="spellStart"/>
      <w:r>
        <w:t>осадительными</w:t>
      </w:r>
      <w:proofErr w:type="spellEnd"/>
      <w:r>
        <w:t xml:space="preserve"> камерами и шнековыми транспортерами для выгрузки легких отходов; Ре</w:t>
      </w:r>
      <w:r>
        <w:t xml:space="preserve">гулировочные заслонки в центральном канале для управления распределением </w:t>
      </w:r>
      <w:proofErr w:type="spellStart"/>
      <w:r>
        <w:t>воздухамежду</w:t>
      </w:r>
      <w:proofErr w:type="spellEnd"/>
      <w:r>
        <w:t xml:space="preserve"> каналами предварительной и дополнительной сепарации; Клапаны подсасывающего воздуха в системе отработанного воздуха для управления скоростью воздуха в канале сепарации; Р</w:t>
      </w:r>
      <w:r>
        <w:t xml:space="preserve">ешетные </w:t>
      </w:r>
      <w:proofErr w:type="spellStart"/>
      <w:r>
        <w:t>станы,качающиеся</w:t>
      </w:r>
      <w:proofErr w:type="spellEnd"/>
      <w:r>
        <w:t xml:space="preserve"> относительно друг друга не менее 2 (два) штук; Скребковый транспортер для очистки решет; Каждый решетный стан состоит из не менее 2 (двух) решетных плоскостей; Очистка сит с помощью шариков; Привод решетного стана не менее 4,0 кВт;</w:t>
      </w:r>
      <w:r>
        <w:t xml:space="preserve"> Питающий профильный валик не менее 0,37 кВт; Разгрузочные шнеки не менее 2(два) каналов сепарации не менее 0,37 кВт. каждый; Привод скребкового транспортера не менее 0,37 кВт; </w:t>
      </w:r>
      <w:proofErr w:type="spellStart"/>
      <w:r>
        <w:t>Вентиляторс</w:t>
      </w:r>
      <w:proofErr w:type="spellEnd"/>
      <w:r>
        <w:t xml:space="preserve"> номинальным расходом воздуха не менее 11000м3/час; Общее давление п</w:t>
      </w:r>
      <w:r>
        <w:t xml:space="preserve">ри номинальном расходе воздуха не менее 1700 Па; Частота вращения не менее 1450 об/мин., мощность привода не менее 11,0кВт; Циклон диаметром не менее 1600 мм; Номинальный расход воздуха не менее 12500 м3/час; Общее давление при номинальном расходе воздуха </w:t>
      </w:r>
      <w:r>
        <w:t>не менее 550 Па; Комплект воздуховодов и фасонных частей для системы аспирации. 3. Ковшовая нория из оцинкованной листовой стали для вертикальной транспортировки любых зернистых и сыпучих материалов. Производительность для пшеницы не менее 30,0 т/час; Обща</w:t>
      </w:r>
      <w:r>
        <w:t>я высота не менее 14,6 м., но не более 15,0м; Приводной двигатель не менее 3,0 кВт., но не более 3,4кВт; Блокировка обратного хода; Датчик схода ленты 24 В; Датчик скорости 24 В; Скорость ленты до 2 м/сек.; Подставка для башмака нории с выгрузным лотком; П</w:t>
      </w:r>
      <w:r>
        <w:t>ромежуточные шайбы между ковшом и лентой нории, нижний барабан башмака нории выполнен из пластин для избежание травмирование продукта. Маслостойкая, антистатическая резиновая лента со стальными ковшами. 4. Триер включает модульный лопастной питатель, выпол</w:t>
      </w:r>
      <w:r>
        <w:t>няющий сортировку и сепарацию продукции по длине. Триер выполнен из стали. Производительность очистки не менее 5,0 т/час; Габаритные размеры: - длина не менее 3590мм., но не более 3615мм. - ширина не менее 840мм., но не более 860мм. - высота не менее 1985м</w:t>
      </w:r>
      <w:r>
        <w:t xml:space="preserve">м., но не более 2000мм. Диаметр рабочего цилиндра не менее 590мм., но не более 610мм. Длина рабочего цилиндра не менее 2490мм., но не более 2510мм. Закрытая конструкция со съемным кожухом; Цилиндр для отбора коротких примесей не более 1 штуки; Частота </w:t>
      </w:r>
      <w:proofErr w:type="spellStart"/>
      <w:r>
        <w:t>вращ</w:t>
      </w:r>
      <w:r>
        <w:t>енияне</w:t>
      </w:r>
      <w:proofErr w:type="spellEnd"/>
      <w:r>
        <w:t xml:space="preserve"> менее 42,0 об/мин; Длина цилиндра не менее2500 мм; Цилиндр для отбора длинных </w:t>
      </w:r>
      <w:proofErr w:type="spellStart"/>
      <w:r>
        <w:t>примесейне</w:t>
      </w:r>
      <w:proofErr w:type="spellEnd"/>
      <w:r>
        <w:t xml:space="preserve"> более 1 штуки; Частота </w:t>
      </w:r>
      <w:proofErr w:type="spellStart"/>
      <w:r>
        <w:t>вращенияне</w:t>
      </w:r>
      <w:proofErr w:type="spellEnd"/>
      <w:r>
        <w:t xml:space="preserve"> менее 42,0 об/мин; Длина цилиндра не менее 2500 мм; Сменные сегменты триера из не менее 3 (три) компонентов; Мощность цилиндро</w:t>
      </w:r>
      <w:r>
        <w:t xml:space="preserve">в не менее не менее 1,5 кВт каждый. Вес не менее 1250 кг, но не более 1360 кг. 5. Протравливатель </w:t>
      </w:r>
      <w:proofErr w:type="spellStart"/>
      <w:r>
        <w:t>непрерывногодействия</w:t>
      </w:r>
      <w:proofErr w:type="spellEnd"/>
      <w:r>
        <w:t xml:space="preserve"> для точного и равномерного протравливания семенного материала с использованием обычных жидких протравителей. Габаритные размеры: - длина </w:t>
      </w:r>
      <w:r>
        <w:t>не менее 2000 мм, но не более 2100мм; - ширина не менее 750 мм, но не более 890 мм; - высота не менее 1450 мм, но не более 1800мм. Производительность по семенам зерновых от не менее 2 т/час, до не более 10 т/час; Протравитель состоит из лопастного питателя</w:t>
      </w:r>
      <w:r>
        <w:t>, первичного распределителя с распределительным и распылительным диском, шнека лотка дополнительного смешивания, дозирующего насоса и распределительного шкафа; В закрытом первичном распределителе вращающийся распределительный и распылительный диск, с приво</w:t>
      </w:r>
      <w:r>
        <w:t xml:space="preserve">дом от тормозного двигателя; Привод не менее 0,55 </w:t>
      </w:r>
      <w:proofErr w:type="spellStart"/>
      <w:r>
        <w:t>кВт.,но</w:t>
      </w:r>
      <w:proofErr w:type="spellEnd"/>
      <w:r>
        <w:t xml:space="preserve"> не более 0,75 кВт., частотой не менее 50 Гц; Дозирующий насос с эксцентриковым шнеком с точным регулированием; Привод не менее 1,1 кВт., но не более 1,8 кВт., частотой не менее 50 Гц; Управление осу</w:t>
      </w:r>
      <w:r>
        <w:t xml:space="preserve">ществляется в распределительном шкафу; Поперечный сепаратор для обеспыливания при впуске не менее 1 </w:t>
      </w:r>
      <w:proofErr w:type="spellStart"/>
      <w:r>
        <w:t>шт</w:t>
      </w:r>
      <w:proofErr w:type="spellEnd"/>
      <w:r>
        <w:t xml:space="preserve">; Эксцентриковый винтовой насос не менее 0,55 кВт., но не более 0,8кВт. в количестве не менее 1 </w:t>
      </w:r>
      <w:proofErr w:type="spellStart"/>
      <w:r>
        <w:t>шт</w:t>
      </w:r>
      <w:proofErr w:type="spellEnd"/>
      <w:r>
        <w:t xml:space="preserve">; Устройство контроля потока не менее 1 </w:t>
      </w:r>
      <w:proofErr w:type="spellStart"/>
      <w:r>
        <w:t>шт</w:t>
      </w:r>
      <w:proofErr w:type="spellEnd"/>
      <w:r>
        <w:t>; Дополнительн</w:t>
      </w:r>
      <w:r>
        <w:t xml:space="preserve">ое оснащение: Резервуар с мешалкой не менее 1 </w:t>
      </w:r>
      <w:proofErr w:type="spellStart"/>
      <w:r>
        <w:t>шт</w:t>
      </w:r>
      <w:proofErr w:type="spellEnd"/>
      <w:r>
        <w:t xml:space="preserve">; Накопительный бункер объемом не менее 1 м3 в количестве не менее 1 </w:t>
      </w:r>
      <w:proofErr w:type="spellStart"/>
      <w:r>
        <w:t>шт</w:t>
      </w:r>
      <w:proofErr w:type="spellEnd"/>
      <w:r>
        <w:t xml:space="preserve">; Сигнализатор уровня «полный-пустой» не менее 1 шт. 6. Шкаф </w:t>
      </w:r>
      <w:proofErr w:type="spellStart"/>
      <w:r>
        <w:t>управлениясостоит</w:t>
      </w:r>
      <w:proofErr w:type="spellEnd"/>
      <w:r>
        <w:t xml:space="preserve"> из: Приводов; Инсталлируемая мощность: не менее 55 кВт; Ра</w:t>
      </w:r>
      <w:r>
        <w:t>бочее напряжение: не менее 220 В., но не более 400 В., с частотой не менее 50 Гц; Управляющее напряжение не менее 24 В; Шкаф управления изготовлен из стали, покрашенный, с основным переключателем, индикаторами, трансформаторами, устройствами управления при</w:t>
      </w:r>
      <w:r>
        <w:t xml:space="preserve">водами, приборами обработки данных для датчиков, отводами, аварийным выключателем. 7. Комплект </w:t>
      </w:r>
      <w:proofErr w:type="spellStart"/>
      <w:r>
        <w:t>электроинсталяционного</w:t>
      </w:r>
      <w:proofErr w:type="spellEnd"/>
      <w:r>
        <w:t xml:space="preserve"> материала из кабелей, инсталляционного материала, кабельных тросов, распределительных щитков, мелких деталей и других для изготовления </w:t>
      </w:r>
      <w:proofErr w:type="spellStart"/>
      <w:r>
        <w:t>эле</w:t>
      </w:r>
      <w:r>
        <w:t>ктро</w:t>
      </w:r>
      <w:proofErr w:type="spellEnd"/>
      <w:r>
        <w:t xml:space="preserve"> кабельного соединения между шкафом управления и отдельными приводами; 8. Механический 2-х ходовой перекидной клапан размером не менее 150 </w:t>
      </w:r>
      <w:r>
        <w:rPr>
          <w:lang w:val="en-US" w:eastAsia="en-US" w:bidi="en-US"/>
        </w:rPr>
        <w:t>x</w:t>
      </w:r>
      <w:r w:rsidRPr="00B829E8">
        <w:rPr>
          <w:lang w:eastAsia="en-US" w:bidi="en-US"/>
        </w:rPr>
        <w:t xml:space="preserve"> </w:t>
      </w:r>
      <w:r>
        <w:t>150 мм. 9. Комплект труб и соединительных деталей: Диаметр одной трубы не менее 150мм.,диаметр второй не менее2</w:t>
      </w:r>
      <w:r>
        <w:t>00 мм; Толщина металла стенок самотечных труб не менее 2 мм; Металлические колена; Переходники и так далее для соединения вышеуказанных позиций; 10. Инструкция по эксплуатации и каталог запасных частей на бумажном или электронном носителе. 11. Срок гаранти</w:t>
      </w:r>
      <w:r>
        <w:t>и работоспособности - не менее 12 (двенадцать) месяцев с даты подписания акта ввода в эксплуатацию. 12. Год выпуска: не ранее 2019 года, новый, ранее не использовавшийся. 13. Инструктаж оператора перед вводом техники в эксплуатацию. 14.В стоимость оборудов</w:t>
      </w:r>
      <w:r>
        <w:t>ания включены следующие сопутствующие услуги: Шефмонтаж оборудования в технологическую цепочку, обеспечивающую нормальную эксплуатацию оборудования и его производительность. Монтаж всех электрических цепей, силовых кабелей, до точки подключения, определенн</w:t>
      </w:r>
      <w:r>
        <w:t xml:space="preserve">ого заказчиком в пределах участка выделенного для размещения оборудования, включая весь необходимый материал в том числе и расходный осуществляется поставщиком. Пусконаладочные работы осуществляются потенциальным поставщиком в течение 5 календарных дней с </w:t>
      </w:r>
      <w:r>
        <w:t>момента монтажа оборудования до достижения стабильных показателей по производительности. Поставщик обязан провести обучение сотрудников Заказчика. Обучение производится во время пусконаладочных работ. Приемка оборудования осуществляется комиссией заказчика</w:t>
      </w:r>
      <w:r>
        <w:t xml:space="preserve"> после проведения проверки и испытания оборудования. Составляется акт ввода в эксплуатацию. Проверка: производительность оборудования, </w:t>
      </w:r>
      <w:proofErr w:type="spellStart"/>
      <w:r>
        <w:t>влагозащищенность</w:t>
      </w:r>
      <w:proofErr w:type="spellEnd"/>
      <w:r>
        <w:t xml:space="preserve"> ямы, оборудования и бункеров. Поставка и монтаж оборудования в </w:t>
      </w:r>
      <w:proofErr w:type="spellStart"/>
      <w:r>
        <w:t>ауыл</w:t>
      </w:r>
      <w:proofErr w:type="spellEnd"/>
      <w:r>
        <w:t xml:space="preserve"> </w:t>
      </w:r>
      <w:proofErr w:type="spellStart"/>
      <w:r>
        <w:t>К.Нокина</w:t>
      </w:r>
      <w:proofErr w:type="spellEnd"/>
      <w:r>
        <w:t xml:space="preserve">, </w:t>
      </w:r>
      <w:proofErr w:type="spellStart"/>
      <w:r>
        <w:t>гАктобе</w:t>
      </w:r>
      <w:proofErr w:type="spellEnd"/>
      <w:r>
        <w:t>, в течение 270 ка</w:t>
      </w:r>
      <w:r>
        <w:t>лендарных дней с момента подписания договора. Каталог запасных частей на бумажном или на электронном носителе.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2"/>
      </w:tblGrid>
      <w:tr w:rsidR="00666811" w14:paraId="77708AF0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E4E9A" w14:textId="77777777" w:rsidR="00666811" w:rsidRDefault="000E4875">
            <w:pPr>
              <w:pStyle w:val="20"/>
              <w:framePr w:w="1020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1"/>
              </w:rPr>
              <w:lastRenderedPageBreak/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A1CD2" w14:textId="77777777" w:rsidR="00666811" w:rsidRDefault="000E4875">
            <w:pPr>
              <w:pStyle w:val="20"/>
              <w:framePr w:w="1020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Инструктаж оператора перед вводом</w:t>
            </w:r>
            <w:r>
              <w:rPr>
                <w:rStyle w:val="22"/>
              </w:rPr>
              <w:t xml:space="preserve"> техники в эксплуатацию.</w:t>
            </w:r>
          </w:p>
        </w:tc>
      </w:tr>
      <w:tr w:rsidR="00666811" w14:paraId="4318ECCA" w14:textId="777777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8F138C" w14:textId="77777777" w:rsidR="00666811" w:rsidRDefault="000E4875">
            <w:pPr>
              <w:pStyle w:val="20"/>
              <w:framePr w:w="1020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1"/>
              </w:rPr>
              <w:t xml:space="preserve"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</w:t>
            </w:r>
            <w:r>
              <w:rPr>
                <w:rStyle w:val="21"/>
              </w:rPr>
              <w:t>непредставление указанных сведений не допускается)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DAD2A" w14:textId="77777777" w:rsidR="00666811" w:rsidRDefault="000E4875">
            <w:pPr>
              <w:pStyle w:val="20"/>
              <w:framePr w:w="1020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Инструктаж оператора перед вводом техники в эксплуатацию.</w:t>
            </w:r>
          </w:p>
        </w:tc>
      </w:tr>
    </w:tbl>
    <w:p w14:paraId="2E40D4A1" w14:textId="77777777" w:rsidR="00666811" w:rsidRDefault="00666811">
      <w:pPr>
        <w:framePr w:w="10205" w:wrap="notBeside" w:vAnchor="text" w:hAnchor="text" w:xAlign="center" w:y="1"/>
        <w:rPr>
          <w:sz w:val="2"/>
          <w:szCs w:val="2"/>
        </w:rPr>
      </w:pPr>
    </w:p>
    <w:p w14:paraId="0829F6C3" w14:textId="77777777" w:rsidR="00666811" w:rsidRDefault="00666811">
      <w:pPr>
        <w:rPr>
          <w:sz w:val="2"/>
          <w:szCs w:val="2"/>
        </w:rPr>
      </w:pPr>
    </w:p>
    <w:p w14:paraId="4CEC5B40" w14:textId="77777777" w:rsidR="00666811" w:rsidRDefault="00666811">
      <w:pPr>
        <w:rPr>
          <w:sz w:val="2"/>
          <w:szCs w:val="2"/>
        </w:rPr>
      </w:pPr>
    </w:p>
    <w:sectPr w:rsidR="00666811">
      <w:pgSz w:w="11900" w:h="16840"/>
      <w:pgMar w:top="867" w:right="834" w:bottom="1390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7690" w14:textId="77777777" w:rsidR="000E4875" w:rsidRDefault="000E4875">
      <w:r>
        <w:separator/>
      </w:r>
    </w:p>
  </w:endnote>
  <w:endnote w:type="continuationSeparator" w:id="0">
    <w:p w14:paraId="716BD2F0" w14:textId="77777777" w:rsidR="000E4875" w:rsidRDefault="000E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F759" w14:textId="77777777" w:rsidR="000E4875" w:rsidRDefault="000E4875"/>
  </w:footnote>
  <w:footnote w:type="continuationSeparator" w:id="0">
    <w:p w14:paraId="0F918FD5" w14:textId="77777777" w:rsidR="000E4875" w:rsidRDefault="000E48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11"/>
    <w:rsid w:val="000E4875"/>
    <w:rsid w:val="00666811"/>
    <w:rsid w:val="00B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43BE9"/>
  <w15:docId w15:val="{6DCD004A-E966-4BD3-A746-0A4E1FE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rbel65pt">
    <w:name w:val="Основной текст (2) + Corbel;6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rbel7pt">
    <w:name w:val="Основной текст (2) + Corbel;7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80" w:line="29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54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2019-10-30T06:37:00Z</dcterms:created>
  <dcterms:modified xsi:type="dcterms:W3CDTF">2019-10-30T06:40:00Z</dcterms:modified>
</cp:coreProperties>
</file>